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351D5" w14:textId="77777777" w:rsidR="00651CA2" w:rsidRPr="00564268" w:rsidRDefault="00651CA2" w:rsidP="00651CA2">
      <w:pPr>
        <w:pStyle w:val="CaseCaption"/>
        <w:rPr>
          <w:bCs/>
          <w:color w:val="000000" w:themeColor="text1"/>
        </w:rPr>
      </w:pPr>
      <w:bookmarkStart w:id="0" w:name="CaseType"/>
      <w:r w:rsidRPr="00EF7381">
        <w:t>Docket</w:t>
      </w:r>
      <w:r w:rsidRPr="00D92C94">
        <w:t xml:space="preserve"> No</w:t>
      </w:r>
      <w:r w:rsidRPr="008647EB">
        <w:t>.</w:t>
      </w:r>
      <w:r>
        <w:t xml:space="preserve"> 56385 </w:t>
      </w:r>
    </w:p>
    <w:tbl>
      <w:tblPr>
        <w:tblW w:w="0" w:type="auto"/>
        <w:tblLook w:val="01E0" w:firstRow="1" w:lastRow="1" w:firstColumn="1" w:lastColumn="1" w:noHBand="0" w:noVBand="0"/>
        <w:tblCaption w:val="Case Caption"/>
      </w:tblPr>
      <w:tblGrid>
        <w:gridCol w:w="4590"/>
        <w:gridCol w:w="450"/>
        <w:gridCol w:w="4320"/>
      </w:tblGrid>
      <w:tr w:rsidR="00651CA2" w:rsidRPr="008647EB" w14:paraId="0F9E94C1" w14:textId="77777777" w:rsidTr="00DF13A2">
        <w:trPr>
          <w:trHeight w:val="927"/>
        </w:trPr>
        <w:tc>
          <w:tcPr>
            <w:tcW w:w="4590" w:type="dxa"/>
          </w:tcPr>
          <w:p w14:paraId="1B1707BC" w14:textId="77777777" w:rsidR="00651CA2" w:rsidRPr="00E710D3" w:rsidRDefault="00651CA2" w:rsidP="00DF13A2">
            <w:pPr>
              <w:spacing w:after="0" w:line="240" w:lineRule="auto"/>
              <w:ind w:firstLine="0"/>
              <w:jc w:val="left"/>
              <w:rPr>
                <w:b/>
                <w:szCs w:val="20"/>
              </w:rPr>
            </w:pPr>
            <w:r w:rsidRPr="00314DB4">
              <w:rPr>
                <w:b/>
                <w:caps/>
                <w:szCs w:val="20"/>
              </w:rPr>
              <w:t>APPLICATION OF NEW WATER SYSTEMS, INC. AND DERBY ING</w:t>
            </w:r>
            <w:r>
              <w:rPr>
                <w:b/>
                <w:caps/>
                <w:szCs w:val="20"/>
              </w:rPr>
              <w:t xml:space="preserve"> LLC</w:t>
            </w:r>
            <w:r w:rsidRPr="00314DB4">
              <w:rPr>
                <w:b/>
                <w:caps/>
                <w:szCs w:val="20"/>
              </w:rPr>
              <w:t xml:space="preserve"> FOR SALE, TRANSFER, OR MERGER OF FACILITIES AND CERTIFICATE RIGHTS IN FRIO COUNTY</w:t>
            </w:r>
          </w:p>
        </w:tc>
        <w:tc>
          <w:tcPr>
            <w:tcW w:w="450" w:type="dxa"/>
            <w:noWrap/>
          </w:tcPr>
          <w:p w14:paraId="5D908958" w14:textId="77777777" w:rsidR="00651CA2" w:rsidRDefault="00651CA2" w:rsidP="00DF13A2">
            <w:pPr>
              <w:spacing w:after="0" w:line="240" w:lineRule="auto"/>
              <w:ind w:firstLine="0"/>
              <w:rPr>
                <w:b/>
                <w:szCs w:val="20"/>
              </w:rPr>
            </w:pPr>
            <w:r>
              <w:rPr>
                <w:b/>
                <w:szCs w:val="20"/>
              </w:rPr>
              <w:t>§</w:t>
            </w:r>
          </w:p>
          <w:p w14:paraId="0CF1CAD7" w14:textId="77777777" w:rsidR="00651CA2" w:rsidRDefault="00651CA2" w:rsidP="00DF13A2">
            <w:pPr>
              <w:spacing w:after="0" w:line="240" w:lineRule="auto"/>
              <w:ind w:firstLine="0"/>
              <w:rPr>
                <w:b/>
                <w:szCs w:val="20"/>
              </w:rPr>
            </w:pPr>
            <w:r>
              <w:rPr>
                <w:b/>
                <w:szCs w:val="20"/>
              </w:rPr>
              <w:t>§</w:t>
            </w:r>
          </w:p>
          <w:p w14:paraId="32FF53BA" w14:textId="77777777" w:rsidR="00651CA2" w:rsidRPr="008647EB" w:rsidRDefault="00651CA2" w:rsidP="00DF13A2">
            <w:pPr>
              <w:spacing w:after="0" w:line="240" w:lineRule="auto"/>
              <w:ind w:firstLine="0"/>
              <w:rPr>
                <w:b/>
                <w:szCs w:val="20"/>
              </w:rPr>
            </w:pPr>
            <w:r>
              <w:rPr>
                <w:b/>
                <w:szCs w:val="20"/>
              </w:rPr>
              <w:t>§</w:t>
            </w:r>
          </w:p>
        </w:tc>
        <w:tc>
          <w:tcPr>
            <w:tcW w:w="4320" w:type="dxa"/>
          </w:tcPr>
          <w:p w14:paraId="083BD433" w14:textId="77777777" w:rsidR="00651CA2" w:rsidRPr="008647EB" w:rsidRDefault="00651CA2" w:rsidP="00DF13A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A4862E5" w14:textId="77777777" w:rsidR="00651CA2" w:rsidRPr="008647EB" w:rsidRDefault="00651CA2" w:rsidP="00DF13A2">
            <w:pPr>
              <w:tabs>
                <w:tab w:val="center" w:pos="4770"/>
                <w:tab w:val="left" w:pos="5400"/>
              </w:tabs>
              <w:spacing w:after="0" w:line="240" w:lineRule="auto"/>
              <w:ind w:firstLine="0"/>
              <w:jc w:val="center"/>
              <w:rPr>
                <w:b/>
                <w:bCs/>
                <w:caps/>
                <w:szCs w:val="20"/>
              </w:rPr>
            </w:pPr>
          </w:p>
          <w:p w14:paraId="4606D823" w14:textId="77777777" w:rsidR="00651CA2" w:rsidRPr="008647EB" w:rsidRDefault="00651CA2" w:rsidP="00DF13A2">
            <w:pPr>
              <w:tabs>
                <w:tab w:val="center" w:pos="4770"/>
                <w:tab w:val="left" w:pos="5400"/>
              </w:tabs>
              <w:spacing w:after="0" w:line="240" w:lineRule="auto"/>
              <w:ind w:firstLine="0"/>
              <w:jc w:val="center"/>
              <w:rPr>
                <w:b/>
                <w:bCs/>
                <w:caps/>
                <w:szCs w:val="20"/>
              </w:rPr>
            </w:pPr>
            <w:r w:rsidRPr="008647EB">
              <w:rPr>
                <w:b/>
                <w:bCs/>
                <w:caps/>
                <w:szCs w:val="20"/>
              </w:rPr>
              <w:t>OF TEXAS</w:t>
            </w:r>
          </w:p>
        </w:tc>
      </w:tr>
      <w:bookmarkEnd w:id="0"/>
    </w:tbl>
    <w:p w14:paraId="51BD6204" w14:textId="77777777" w:rsidR="00651CA2" w:rsidRPr="00EC55F4" w:rsidRDefault="00651CA2" w:rsidP="00651CA2">
      <w:pPr>
        <w:spacing w:after="0" w:line="240" w:lineRule="auto"/>
        <w:ind w:firstLine="0"/>
        <w:jc w:val="center"/>
        <w:rPr>
          <w:b/>
          <w:caps/>
        </w:rPr>
      </w:pPr>
    </w:p>
    <w:p w14:paraId="69660C3E" w14:textId="0A3FF611" w:rsidR="00651CA2" w:rsidRPr="00EC55F4" w:rsidRDefault="00651CA2" w:rsidP="00651CA2">
      <w:pPr>
        <w:pStyle w:val="CaseCaption"/>
      </w:pPr>
      <w:r w:rsidRPr="00EC55F4">
        <w:t xml:space="preserve">COMMISSION STAFF’S </w:t>
      </w:r>
      <w:r>
        <w:t>Recommendation of Sufficiency of Notice</w:t>
      </w:r>
      <w:r w:rsidR="00AF3C36">
        <w:t xml:space="preserve"> AND </w:t>
      </w:r>
      <w:r w:rsidR="007A4743">
        <w:t xml:space="preserve">ON </w:t>
      </w:r>
      <w:r w:rsidR="00AF3C36">
        <w:t xml:space="preserve">THE </w:t>
      </w:r>
      <w:r w:rsidR="007A4743">
        <w:t xml:space="preserve">TRANSACTION AND MOTION TO DISMISS </w:t>
      </w:r>
    </w:p>
    <w:p w14:paraId="0AF089BB" w14:textId="649C10A4" w:rsidR="00651CA2" w:rsidRDefault="00651CA2" w:rsidP="00651CA2">
      <w:pPr>
        <w:pStyle w:val="Paragraph"/>
        <w:rPr>
          <w:iCs/>
        </w:rPr>
      </w:pPr>
      <w:r>
        <w:t xml:space="preserve">On March 19, 2024, New Water Systems, Inc. </w:t>
      </w:r>
      <w:r w:rsidR="007A4743">
        <w:t xml:space="preserve">(New Water Systems) </w:t>
      </w:r>
      <w:r>
        <w:t>and Derby ING LLC</w:t>
      </w:r>
      <w:r w:rsidR="00F67880">
        <w:t xml:space="preserve"> (Derby ING)</w:t>
      </w:r>
      <w:r>
        <w:t xml:space="preserve"> (collectively, Applicants) filed an application for the sale, transfer, or merger of facilities and certificate of convenience and necessity rights in Frio County</w:t>
      </w:r>
      <w:r w:rsidRPr="004606C4">
        <w:rPr>
          <w:iCs/>
        </w:rPr>
        <w:t>.</w:t>
      </w:r>
    </w:p>
    <w:p w14:paraId="48E0914B" w14:textId="052EBFD0" w:rsidR="00651CA2" w:rsidRDefault="00651CA2" w:rsidP="00651CA2">
      <w:pPr>
        <w:pStyle w:val="Paragraph"/>
      </w:pPr>
      <w:r>
        <w:rPr>
          <w:iCs/>
        </w:rPr>
        <w:t xml:space="preserve">On June 6, 2024, the administrative law judge </w:t>
      </w:r>
      <w:r w:rsidR="007A4743">
        <w:rPr>
          <w:iCs/>
        </w:rPr>
        <w:t xml:space="preserve">(ALJ) </w:t>
      </w:r>
      <w:r>
        <w:rPr>
          <w:iCs/>
        </w:rPr>
        <w:t>filed Order No. 3,</w:t>
      </w:r>
      <w:r w:rsidRPr="00D94E7F">
        <w:t xml:space="preserve"> </w:t>
      </w:r>
      <w:r>
        <w:t>directing the Staff (Staff) of the Public Utility Commission of Texas (Commission) to file a recommendation on sufficiency of notice and a proposed procedural schedule by June 13, 2024. Therefore, this pleading is timely filed.</w:t>
      </w:r>
    </w:p>
    <w:p w14:paraId="44E05192" w14:textId="40A9E087" w:rsidR="00651CA2" w:rsidRPr="00EC55F4" w:rsidRDefault="00651CA2" w:rsidP="00651CA2">
      <w:pPr>
        <w:pStyle w:val="ListParagraph"/>
        <w:numPr>
          <w:ilvl w:val="0"/>
          <w:numId w:val="1"/>
        </w:numPr>
        <w:overflowPunct/>
        <w:autoSpaceDE/>
        <w:autoSpaceDN/>
        <w:adjustRightInd/>
        <w:spacing w:before="120" w:line="360" w:lineRule="auto"/>
        <w:ind w:left="0" w:firstLine="0"/>
        <w:jc w:val="center"/>
        <w:textAlignment w:val="auto"/>
        <w:rPr>
          <w:b/>
          <w:sz w:val="24"/>
          <w:szCs w:val="24"/>
        </w:rPr>
      </w:pPr>
      <w:r>
        <w:rPr>
          <w:b/>
          <w:sz w:val="24"/>
          <w:szCs w:val="24"/>
        </w:rPr>
        <w:t>RECOMMENDATION ON NOTICE</w:t>
      </w:r>
    </w:p>
    <w:p w14:paraId="6B0C6FA3" w14:textId="4EB7D885" w:rsidR="00651CA2" w:rsidRDefault="00651CA2" w:rsidP="00651CA2">
      <w:pPr>
        <w:pStyle w:val="Paragraph"/>
      </w:pPr>
      <w:r>
        <w:t>Staff has reviewed Applicants</w:t>
      </w:r>
      <w:r w:rsidR="0064081F">
        <w:t>’</w:t>
      </w:r>
      <w:r>
        <w:t xml:space="preserve"> proof of notice filed on April 25, 2024, and as detailed in the attached memorandum from Jaspinder Singh of the Infrastructure Division, recommends that the notice be deemed deficient. Applicants did not provide proof of notice to each landowner of tract of land that is at least 25 acres and is wholly or partly located in the requested area. </w:t>
      </w:r>
    </w:p>
    <w:p w14:paraId="3E1DC9B0" w14:textId="66B27045" w:rsidR="00651CA2" w:rsidRDefault="001E1988" w:rsidP="00651CA2">
      <w:pPr>
        <w:pStyle w:val="ListParagraph"/>
        <w:numPr>
          <w:ilvl w:val="0"/>
          <w:numId w:val="1"/>
        </w:numPr>
        <w:overflowPunct/>
        <w:autoSpaceDE/>
        <w:autoSpaceDN/>
        <w:adjustRightInd/>
        <w:spacing w:before="120" w:line="360" w:lineRule="auto"/>
        <w:ind w:left="0" w:firstLine="0"/>
        <w:jc w:val="center"/>
        <w:textAlignment w:val="auto"/>
        <w:rPr>
          <w:b/>
          <w:sz w:val="24"/>
          <w:szCs w:val="24"/>
        </w:rPr>
      </w:pPr>
      <w:r>
        <w:rPr>
          <w:b/>
          <w:sz w:val="24"/>
          <w:szCs w:val="24"/>
        </w:rPr>
        <w:t>RECOMMENDATION TO DENY THE TRANSACTION</w:t>
      </w:r>
      <w:r w:rsidR="0064081F">
        <w:rPr>
          <w:b/>
          <w:sz w:val="24"/>
          <w:szCs w:val="24"/>
        </w:rPr>
        <w:t xml:space="preserve"> FROM </w:t>
      </w:r>
      <w:r>
        <w:rPr>
          <w:b/>
          <w:sz w:val="24"/>
          <w:szCs w:val="24"/>
        </w:rPr>
        <w:t>PROCEED</w:t>
      </w:r>
      <w:r w:rsidR="0064081F">
        <w:rPr>
          <w:b/>
          <w:sz w:val="24"/>
          <w:szCs w:val="24"/>
        </w:rPr>
        <w:t>ING</w:t>
      </w:r>
    </w:p>
    <w:p w14:paraId="1A65A189" w14:textId="0DB24DD7" w:rsidR="00F67880" w:rsidRDefault="0064081F">
      <w:pPr>
        <w:spacing w:after="0"/>
        <w:rPr>
          <w:bCs/>
        </w:rPr>
      </w:pPr>
      <w:r w:rsidRPr="0064081F">
        <w:rPr>
          <w:bCs/>
        </w:rPr>
        <w:t xml:space="preserve">Staff has reviewed the Applicants’ application </w:t>
      </w:r>
      <w:proofErr w:type="gramStart"/>
      <w:r w:rsidRPr="0064081F">
        <w:rPr>
          <w:bCs/>
        </w:rPr>
        <w:t>and,</w:t>
      </w:r>
      <w:proofErr w:type="gramEnd"/>
      <w:r w:rsidRPr="0064081F">
        <w:rPr>
          <w:bCs/>
        </w:rPr>
        <w:t xml:space="preserve"> as detailed in the attached memorandum from </w:t>
      </w:r>
      <w:r w:rsidR="00E0253A">
        <w:rPr>
          <w:bCs/>
        </w:rPr>
        <w:t xml:space="preserve">Mr. </w:t>
      </w:r>
      <w:r w:rsidRPr="0064081F">
        <w:rPr>
          <w:bCs/>
        </w:rPr>
        <w:t>Singh</w:t>
      </w:r>
      <w:r>
        <w:rPr>
          <w:bCs/>
        </w:rPr>
        <w:t xml:space="preserve">, recommends that the transaction be denied approval from proceeding for failure to </w:t>
      </w:r>
      <w:r w:rsidR="0060544B">
        <w:rPr>
          <w:bCs/>
        </w:rPr>
        <w:t>demonstrate</w:t>
      </w:r>
      <w:r>
        <w:rPr>
          <w:bCs/>
        </w:rPr>
        <w:t xml:space="preserve"> the technical and managerial </w:t>
      </w:r>
      <w:r w:rsidR="0060544B">
        <w:rPr>
          <w:bCs/>
        </w:rPr>
        <w:t xml:space="preserve">capability to provide continuous and adequate service to the requested area </w:t>
      </w:r>
      <w:r w:rsidR="00AF3C36">
        <w:rPr>
          <w:bCs/>
        </w:rPr>
        <w:t>under</w:t>
      </w:r>
      <w:r>
        <w:rPr>
          <w:bCs/>
        </w:rPr>
        <w:t xml:space="preserve"> 16 TAC </w:t>
      </w:r>
      <w:r w:rsidR="00AF3C36">
        <w:rPr>
          <w:bCs/>
        </w:rPr>
        <w:t xml:space="preserve">§ </w:t>
      </w:r>
      <w:r>
        <w:rPr>
          <w:bCs/>
        </w:rPr>
        <w:t>2</w:t>
      </w:r>
      <w:r w:rsidR="0060544B">
        <w:rPr>
          <w:bCs/>
        </w:rPr>
        <w:t>4.239(h)</w:t>
      </w:r>
      <w:r>
        <w:rPr>
          <w:bCs/>
        </w:rPr>
        <w:t>.</w:t>
      </w:r>
      <w:r w:rsidR="007A4743">
        <w:rPr>
          <w:bCs/>
        </w:rPr>
        <w:t xml:space="preserve"> </w:t>
      </w:r>
      <w:r w:rsidR="006C5457">
        <w:rPr>
          <w:bCs/>
        </w:rPr>
        <w:t xml:space="preserve">As refenced in Mr. Singh’s memorandum, </w:t>
      </w:r>
      <w:r w:rsidR="007A4743">
        <w:rPr>
          <w:bCs/>
        </w:rPr>
        <w:t>Staff has reviewed Commission records</w:t>
      </w:r>
      <w:r w:rsidR="007F2401">
        <w:rPr>
          <w:bCs/>
        </w:rPr>
        <w:t xml:space="preserve"> and has found</w:t>
      </w:r>
      <w:r w:rsidR="000B62E6">
        <w:rPr>
          <w:bCs/>
        </w:rPr>
        <w:t xml:space="preserve"> no entity listed under the name “New Water Systems, Inc.” in the Commission’s Public Utility Information Website.</w:t>
      </w:r>
      <w:r w:rsidR="000B62E6">
        <w:rPr>
          <w:rStyle w:val="FootnoteReference"/>
          <w:bCs/>
        </w:rPr>
        <w:footnoteReference w:id="1"/>
      </w:r>
      <w:r w:rsidR="000B62E6">
        <w:rPr>
          <w:bCs/>
        </w:rPr>
        <w:t xml:space="preserve"> </w:t>
      </w:r>
    </w:p>
    <w:p w14:paraId="42252CC3" w14:textId="6A3DD010" w:rsidR="00CB2105" w:rsidRDefault="00E0253A">
      <w:pPr>
        <w:spacing w:after="0"/>
      </w:pPr>
      <w:r>
        <w:rPr>
          <w:bCs/>
        </w:rPr>
        <w:lastRenderedPageBreak/>
        <w:t>Further, t</w:t>
      </w:r>
      <w:r w:rsidR="000B62E6">
        <w:rPr>
          <w:bCs/>
        </w:rPr>
        <w:t xml:space="preserve">he interchange reflects no applications </w:t>
      </w:r>
      <w:r>
        <w:rPr>
          <w:bCs/>
        </w:rPr>
        <w:t xml:space="preserve">by New Water Systems </w:t>
      </w:r>
      <w:r w:rsidR="000B62E6">
        <w:rPr>
          <w:bCs/>
        </w:rPr>
        <w:t xml:space="preserve">for any of the systems listed on New Water Systems’ website for </w:t>
      </w:r>
      <w:r>
        <w:rPr>
          <w:bCs/>
        </w:rPr>
        <w:t xml:space="preserve">which New Water Systems has obtained </w:t>
      </w:r>
      <w:r w:rsidR="000B62E6">
        <w:rPr>
          <w:bCs/>
        </w:rPr>
        <w:t xml:space="preserve">a </w:t>
      </w:r>
      <w:r w:rsidR="0004381F">
        <w:rPr>
          <w:bCs/>
        </w:rPr>
        <w:t>certificate of convenience and necessity (CCN)</w:t>
      </w:r>
      <w:r>
        <w:rPr>
          <w:bCs/>
        </w:rPr>
        <w:t xml:space="preserve"> to provide service through such systems.</w:t>
      </w:r>
      <w:r w:rsidR="000B62E6">
        <w:rPr>
          <w:rStyle w:val="FootnoteReference"/>
          <w:bCs/>
        </w:rPr>
        <w:footnoteReference w:id="2"/>
      </w:r>
      <w:r w:rsidR="000B62E6">
        <w:rPr>
          <w:bCs/>
        </w:rPr>
        <w:t xml:space="preserve"> </w:t>
      </w:r>
      <w:r>
        <w:rPr>
          <w:bCs/>
        </w:rPr>
        <w:t xml:space="preserve">In fact, </w:t>
      </w:r>
      <w:r w:rsidR="000B62E6">
        <w:rPr>
          <w:bCs/>
        </w:rPr>
        <w:t>this is the only application on file for New Water Systems</w:t>
      </w:r>
      <w:r>
        <w:rPr>
          <w:bCs/>
        </w:rPr>
        <w:t xml:space="preserve"> in which it is seeking to obtain a CCN for the area currently being served by </w:t>
      </w:r>
      <w:r w:rsidR="00F67880">
        <w:rPr>
          <w:bCs/>
        </w:rPr>
        <w:t xml:space="preserve">the </w:t>
      </w:r>
      <w:r>
        <w:rPr>
          <w:bCs/>
        </w:rPr>
        <w:t xml:space="preserve">Derby </w:t>
      </w:r>
      <w:r w:rsidR="00F67880">
        <w:rPr>
          <w:bCs/>
        </w:rPr>
        <w:t>ING public water system under CCN No. 12931</w:t>
      </w:r>
      <w:r w:rsidR="000B62E6">
        <w:rPr>
          <w:bCs/>
        </w:rPr>
        <w:t xml:space="preserve">. </w:t>
      </w:r>
      <w:r w:rsidR="00F67880">
        <w:rPr>
          <w:bCs/>
        </w:rPr>
        <w:t>Notably and of concern to Staff</w:t>
      </w:r>
      <w:r w:rsidR="00DD0FAC">
        <w:rPr>
          <w:bCs/>
        </w:rPr>
        <w:t xml:space="preserve">, New Water Systems’ website lists </w:t>
      </w:r>
      <w:r w:rsidR="00DD0FAC">
        <w:t xml:space="preserve">service for </w:t>
      </w:r>
      <w:r w:rsidR="00F67880">
        <w:t xml:space="preserve">the </w:t>
      </w:r>
      <w:r w:rsidR="00DD0FAC">
        <w:t>Derby NWS,</w:t>
      </w:r>
      <w:r w:rsidR="00F67880">
        <w:t xml:space="preserve"> which </w:t>
      </w:r>
      <w:r w:rsidR="00CB2105">
        <w:t xml:space="preserve">Staff understands to be in </w:t>
      </w:r>
      <w:r w:rsidR="00F67880">
        <w:t>reference to the Derby ING public water system</w:t>
      </w:r>
      <w:r w:rsidR="00CB2105">
        <w:t>, which New Water Systems is seeking approval to obtain in this proceeding</w:t>
      </w:r>
      <w:r w:rsidR="00F67880">
        <w:t xml:space="preserve">. </w:t>
      </w:r>
    </w:p>
    <w:p w14:paraId="5BB966F1" w14:textId="4A3A53AD" w:rsidR="0004381F" w:rsidRDefault="00F67880" w:rsidP="00263B5A">
      <w:pPr>
        <w:spacing w:after="0"/>
        <w:rPr>
          <w:bCs/>
        </w:rPr>
      </w:pPr>
      <w:r>
        <w:t xml:space="preserve">In addition, the website also lists additional systems that are being served by New Water Systems, </w:t>
      </w:r>
      <w:r w:rsidR="00CB2105">
        <w:t>including</w:t>
      </w:r>
      <w:r w:rsidR="00DD0FAC">
        <w:t xml:space="preserve"> Fall Branch NWS, Oak Hill NWS, Pleasure Point NWS, Sellers Estates NWS, Solar Village NWS, South Midland NWS, and Warren NWS</w:t>
      </w:r>
      <w:r w:rsidR="00E0253A">
        <w:t>,</w:t>
      </w:r>
      <w:r w:rsidR="007F2401">
        <w:t xml:space="preserve"> none of which </w:t>
      </w:r>
      <w:r>
        <w:t>are certificated to</w:t>
      </w:r>
      <w:r w:rsidR="007F2401">
        <w:t xml:space="preserve"> New Water Systems</w:t>
      </w:r>
      <w:r w:rsidR="00DD0FAC">
        <w:t xml:space="preserve">. </w:t>
      </w:r>
      <w:r w:rsidR="009F67A6">
        <w:t>Of those systems, two of the</w:t>
      </w:r>
      <w:r w:rsidR="00BC0F44">
        <w:t>se</w:t>
      </w:r>
      <w:r w:rsidR="009F67A6">
        <w:t xml:space="preserve"> systems—</w:t>
      </w:r>
      <w:r w:rsidR="002213DF">
        <w:t>Pleasure Point NWS and South Midland NWS</w:t>
      </w:r>
      <w:r w:rsidR="009F67A6">
        <w:t xml:space="preserve">—are </w:t>
      </w:r>
      <w:r w:rsidR="002213DF">
        <w:t xml:space="preserve">under a </w:t>
      </w:r>
      <w:r w:rsidR="009F67A6">
        <w:t>r</w:t>
      </w:r>
      <w:r w:rsidR="002213DF">
        <w:t xml:space="preserve">eceivership </w:t>
      </w:r>
      <w:r w:rsidR="009F67A6">
        <w:t>authorized</w:t>
      </w:r>
      <w:r w:rsidR="00CB2105">
        <w:t>, respectively,</w:t>
      </w:r>
      <w:r w:rsidR="009F67A6">
        <w:t xml:space="preserve"> by</w:t>
      </w:r>
      <w:r w:rsidR="00404606">
        <w:t xml:space="preserve"> </w:t>
      </w:r>
      <w:r>
        <w:t xml:space="preserve">the </w:t>
      </w:r>
      <w:r w:rsidR="002213DF">
        <w:t>T</w:t>
      </w:r>
      <w:r w:rsidR="00404606">
        <w:t xml:space="preserve">exas Commission on Environmental </w:t>
      </w:r>
      <w:r w:rsidR="002213DF">
        <w:t>Q</w:t>
      </w:r>
      <w:r w:rsidR="00404606">
        <w:t>uality</w:t>
      </w:r>
      <w:r>
        <w:t xml:space="preserve"> and the 261</w:t>
      </w:r>
      <w:r w:rsidRPr="00263B5A">
        <w:rPr>
          <w:vertAlign w:val="superscript"/>
        </w:rPr>
        <w:t>st</w:t>
      </w:r>
      <w:r>
        <w:t xml:space="preserve"> Judicial District Court</w:t>
      </w:r>
      <w:r w:rsidR="002213DF">
        <w:t xml:space="preserve">, </w:t>
      </w:r>
      <w:r w:rsidR="00CB2105">
        <w:t>while</w:t>
      </w:r>
      <w:r w:rsidR="009F67A6">
        <w:t xml:space="preserve"> </w:t>
      </w:r>
      <w:r w:rsidR="002213DF">
        <w:t xml:space="preserve">the </w:t>
      </w:r>
      <w:r w:rsidR="009F67A6">
        <w:t>CCN</w:t>
      </w:r>
      <w:r w:rsidR="00CB2105">
        <w:t>s for these systems</w:t>
      </w:r>
      <w:r w:rsidR="009F67A6">
        <w:t xml:space="preserve"> remain under the name of these systems’ respective owners</w:t>
      </w:r>
      <w:r w:rsidR="00404606">
        <w:t xml:space="preserve">. </w:t>
      </w:r>
      <w:r w:rsidR="009F67A6">
        <w:t>Two additional</w:t>
      </w:r>
      <w:r w:rsidR="007F2401">
        <w:t xml:space="preserve"> systems—Solar Estates NWS and Warren NWS—have CCNs under another entities’ name, thereby indicating that New Water Systems has acquired these systems without submitting an STM application</w:t>
      </w:r>
      <w:r w:rsidR="009F67A6">
        <w:t xml:space="preserve">, in violation of </w:t>
      </w:r>
      <w:r w:rsidR="00BC0F44">
        <w:t xml:space="preserve">Texas Water Code (TWC) § 13.301 and </w:t>
      </w:r>
      <w:r w:rsidR="009F67A6">
        <w:t>16 TAC § 24.239</w:t>
      </w:r>
      <w:r w:rsidR="00404606">
        <w:t xml:space="preserve">. </w:t>
      </w:r>
      <w:r w:rsidR="009F67A6">
        <w:t>Finally, t</w:t>
      </w:r>
      <w:r w:rsidR="004871C0">
        <w:t xml:space="preserve">hree of the systems are being operated with no CCN at all. </w:t>
      </w:r>
      <w:r w:rsidR="0004381F">
        <w:rPr>
          <w:bCs/>
        </w:rPr>
        <w:t xml:space="preserve">As a result, Staff finds that New Water Systems is serving </w:t>
      </w:r>
      <w:r w:rsidR="004871C0">
        <w:rPr>
          <w:bCs/>
        </w:rPr>
        <w:t>six</w:t>
      </w:r>
      <w:r w:rsidR="0004381F">
        <w:rPr>
          <w:bCs/>
        </w:rPr>
        <w:t xml:space="preserve"> systems without </w:t>
      </w:r>
      <w:r w:rsidR="00BC0F44">
        <w:rPr>
          <w:bCs/>
        </w:rPr>
        <w:t>proper authorization</w:t>
      </w:r>
      <w:r w:rsidR="007F2401">
        <w:rPr>
          <w:bCs/>
        </w:rPr>
        <w:t xml:space="preserve"> and</w:t>
      </w:r>
      <w:r w:rsidR="0004381F">
        <w:rPr>
          <w:bCs/>
        </w:rPr>
        <w:t xml:space="preserve"> </w:t>
      </w:r>
      <w:r w:rsidR="00BC0F44">
        <w:rPr>
          <w:bCs/>
        </w:rPr>
        <w:t>appears to be</w:t>
      </w:r>
      <w:r w:rsidR="009F67A6">
        <w:rPr>
          <w:bCs/>
        </w:rPr>
        <w:t xml:space="preserve"> </w:t>
      </w:r>
      <w:r w:rsidR="0004381F">
        <w:rPr>
          <w:bCs/>
        </w:rPr>
        <w:t>in violation of Texas TWC § 13.242 and 16 TAC § 24.2</w:t>
      </w:r>
      <w:r w:rsidR="00CB2105">
        <w:rPr>
          <w:bCs/>
        </w:rPr>
        <w:t>2</w:t>
      </w:r>
      <w:r w:rsidR="0004381F">
        <w:rPr>
          <w:bCs/>
        </w:rPr>
        <w:t>5.</w:t>
      </w:r>
    </w:p>
    <w:p w14:paraId="344FE254" w14:textId="644445C8" w:rsidR="0004381F" w:rsidRDefault="00CB2105" w:rsidP="00263B5A">
      <w:pPr>
        <w:spacing w:after="0"/>
        <w:rPr>
          <w:bCs/>
        </w:rPr>
      </w:pPr>
      <w:r>
        <w:t>Furthermore</w:t>
      </w:r>
      <w:r w:rsidR="0004381F">
        <w:t>, New Water Systems is operating</w:t>
      </w:r>
      <w:r w:rsidR="009F67A6">
        <w:t xml:space="preserve"> </w:t>
      </w:r>
      <w:proofErr w:type="gramStart"/>
      <w:r w:rsidR="009F67A6">
        <w:t>all of</w:t>
      </w:r>
      <w:proofErr w:type="gramEnd"/>
      <w:r w:rsidR="009F67A6">
        <w:t xml:space="preserve"> these</w:t>
      </w:r>
      <w:r w:rsidR="0004381F">
        <w:t xml:space="preserve"> </w:t>
      </w:r>
      <w:r w:rsidR="00DD0FAC">
        <w:t xml:space="preserve">systems </w:t>
      </w:r>
      <w:r w:rsidR="0004381F">
        <w:t>without a</w:t>
      </w:r>
      <w:r w:rsidR="00DD0FAC">
        <w:t xml:space="preserve"> tariff</w:t>
      </w:r>
      <w:r w:rsidR="004871C0">
        <w:t xml:space="preserve"> but </w:t>
      </w:r>
      <w:r w:rsidR="009F67A6">
        <w:t>nevertheless appears to be</w:t>
      </w:r>
      <w:r w:rsidR="004871C0">
        <w:t xml:space="preserve"> charging customers</w:t>
      </w:r>
      <w:r w:rsidR="00BC0F44">
        <w:t>,</w:t>
      </w:r>
      <w:r w:rsidR="004871C0" w:rsidRPr="004871C0">
        <w:rPr>
          <w:bCs/>
        </w:rPr>
        <w:t xml:space="preserve"> </w:t>
      </w:r>
      <w:r w:rsidR="004871C0">
        <w:rPr>
          <w:bCs/>
        </w:rPr>
        <w:t>in violation of TWC § 13.135 and 16 TAC § 24.25</w:t>
      </w:r>
      <w:r w:rsidR="0004381F">
        <w:t>.</w:t>
      </w:r>
      <w:r w:rsidR="009F67A6">
        <w:rPr>
          <w:rStyle w:val="FootnoteReference"/>
        </w:rPr>
        <w:footnoteReference w:id="3"/>
      </w:r>
      <w:r w:rsidR="0004381F">
        <w:t xml:space="preserve"> Commission records show no tariff associated with the name New Water Systems and no tariff information is </w:t>
      </w:r>
      <w:r w:rsidR="00DD0FAC">
        <w:t>listed on th</w:t>
      </w:r>
      <w:r w:rsidR="00D3431C">
        <w:t>e</w:t>
      </w:r>
      <w:r w:rsidR="00DD0FAC">
        <w:t xml:space="preserve"> individual pages</w:t>
      </w:r>
      <w:r w:rsidR="0004381F">
        <w:t xml:space="preserve"> for each of their systems</w:t>
      </w:r>
      <w:r w:rsidR="00DD0FAC">
        <w:t>.</w:t>
      </w:r>
      <w:r w:rsidR="009F67A6">
        <w:rPr>
          <w:rStyle w:val="FootnoteReference"/>
        </w:rPr>
        <w:footnoteReference w:id="4"/>
      </w:r>
      <w:r w:rsidR="00DD0FAC">
        <w:rPr>
          <w:bCs/>
        </w:rPr>
        <w:t xml:space="preserve"> </w:t>
      </w:r>
    </w:p>
    <w:p w14:paraId="71096228" w14:textId="40E17928" w:rsidR="00651CA2" w:rsidRPr="004871C0" w:rsidRDefault="004871C0" w:rsidP="00263B5A">
      <w:pPr>
        <w:spacing w:after="0"/>
        <w:rPr>
          <w:bCs/>
        </w:rPr>
      </w:pPr>
      <w:r>
        <w:rPr>
          <w:bCs/>
        </w:rPr>
        <w:t xml:space="preserve">Finally, given the extent and seriousness of these violations, New Water Systems is currently under investigation by </w:t>
      </w:r>
      <w:r w:rsidR="00CB2105">
        <w:rPr>
          <w:bCs/>
        </w:rPr>
        <w:t xml:space="preserve">the Commission’s Division of Compliance and Enforcement </w:t>
      </w:r>
      <w:r>
        <w:rPr>
          <w:bCs/>
        </w:rPr>
        <w:t xml:space="preserve">for </w:t>
      </w:r>
      <w:r w:rsidR="009F67A6">
        <w:rPr>
          <w:bCs/>
        </w:rPr>
        <w:t>these and potentially other</w:t>
      </w:r>
      <w:r>
        <w:rPr>
          <w:bCs/>
        </w:rPr>
        <w:t xml:space="preserve"> violations of PUC rules and statutes. Until New Water Systems is able </w:t>
      </w:r>
      <w:r>
        <w:rPr>
          <w:bCs/>
        </w:rPr>
        <w:lastRenderedPageBreak/>
        <w:t xml:space="preserve">to address these extensive issues, it will not meet the technical and managerial requirements to provide adequate and continuous service to the requested service area, and its application will not be sufficient on its merits. </w:t>
      </w:r>
      <w:r w:rsidR="00394A5D">
        <w:rPr>
          <w:bCs/>
        </w:rPr>
        <w:t>As such</w:t>
      </w:r>
      <w:r w:rsidR="0064081F">
        <w:rPr>
          <w:bCs/>
        </w:rPr>
        <w:t>, Staff recommends that the transaction will not serve the public interest</w:t>
      </w:r>
      <w:r w:rsidR="00AF3C36">
        <w:rPr>
          <w:bCs/>
        </w:rPr>
        <w:t xml:space="preserve"> and that the transaction should be denied approval from proceeding.</w:t>
      </w:r>
      <w:r w:rsidR="0060544B">
        <w:rPr>
          <w:bCs/>
        </w:rPr>
        <w:t xml:space="preserve"> </w:t>
      </w:r>
    </w:p>
    <w:p w14:paraId="04407FC0" w14:textId="4CAEA82E" w:rsidR="007A4743" w:rsidRDefault="007A4743" w:rsidP="00651CA2">
      <w:pPr>
        <w:pStyle w:val="ListParagraph"/>
        <w:numPr>
          <w:ilvl w:val="0"/>
          <w:numId w:val="1"/>
        </w:numPr>
        <w:overflowPunct/>
        <w:autoSpaceDE/>
        <w:autoSpaceDN/>
        <w:adjustRightInd/>
        <w:spacing w:before="120" w:line="360" w:lineRule="auto"/>
        <w:ind w:left="0" w:firstLine="0"/>
        <w:jc w:val="center"/>
        <w:textAlignment w:val="auto"/>
        <w:rPr>
          <w:b/>
          <w:sz w:val="24"/>
          <w:szCs w:val="24"/>
        </w:rPr>
      </w:pPr>
      <w:r>
        <w:rPr>
          <w:b/>
          <w:sz w:val="24"/>
          <w:szCs w:val="24"/>
        </w:rPr>
        <w:t>MOTION TO DISMISS</w:t>
      </w:r>
    </w:p>
    <w:p w14:paraId="1183BF22" w14:textId="26125105" w:rsidR="007A4743" w:rsidRDefault="007A4743" w:rsidP="00263B5A">
      <w:pPr>
        <w:spacing w:after="0"/>
        <w:rPr>
          <w:bCs/>
        </w:rPr>
      </w:pPr>
      <w:r w:rsidRPr="007A4743">
        <w:rPr>
          <w:bCs/>
        </w:rPr>
        <w:t>Staff recommend</w:t>
      </w:r>
      <w:r>
        <w:rPr>
          <w:bCs/>
        </w:rPr>
        <w:t>s</w:t>
      </w:r>
      <w:r w:rsidRPr="007A4743">
        <w:rPr>
          <w:bCs/>
        </w:rPr>
        <w:t xml:space="preserve"> that the transaction be denied from proceeding</w:t>
      </w:r>
      <w:r w:rsidR="009F67A6">
        <w:rPr>
          <w:bCs/>
        </w:rPr>
        <w:t>. Because</w:t>
      </w:r>
      <w:r w:rsidR="00D3431C">
        <w:rPr>
          <w:bCs/>
        </w:rPr>
        <w:t xml:space="preserve"> New Water Systems will not be able to amend its application to overcome the managerial and technical deficiencies described above</w:t>
      </w:r>
      <w:r w:rsidR="009F67A6">
        <w:rPr>
          <w:bCs/>
        </w:rPr>
        <w:t xml:space="preserve"> </w:t>
      </w:r>
      <w:r w:rsidR="00D3431C">
        <w:rPr>
          <w:bCs/>
        </w:rPr>
        <w:t>in a reasonable amount of time</w:t>
      </w:r>
      <w:r w:rsidR="00BC0F44">
        <w:rPr>
          <w:bCs/>
        </w:rPr>
        <w:t xml:space="preserve"> and because</w:t>
      </w:r>
      <w:r w:rsidR="009F67A6">
        <w:rPr>
          <w:bCs/>
        </w:rPr>
        <w:t xml:space="preserve"> many of these violations are for systems outside the scope of this application, </w:t>
      </w:r>
      <w:r w:rsidRPr="007A4743">
        <w:rPr>
          <w:bCs/>
        </w:rPr>
        <w:t xml:space="preserve">Staff respectfully requests that the </w:t>
      </w:r>
      <w:r>
        <w:rPr>
          <w:bCs/>
        </w:rPr>
        <w:t xml:space="preserve">ALJ dismiss the </w:t>
      </w:r>
      <w:r w:rsidR="00394A5D">
        <w:rPr>
          <w:bCs/>
        </w:rPr>
        <w:t>proceeding</w:t>
      </w:r>
      <w:r>
        <w:rPr>
          <w:bCs/>
        </w:rPr>
        <w:t xml:space="preserve"> </w:t>
      </w:r>
      <w:r w:rsidR="004237DC">
        <w:rPr>
          <w:bCs/>
        </w:rPr>
        <w:t xml:space="preserve">with prejudice </w:t>
      </w:r>
      <w:r w:rsidR="00530C5B">
        <w:rPr>
          <w:bCs/>
        </w:rPr>
        <w:t>based on other good cause shown pursuant to 16 TAC</w:t>
      </w:r>
      <w:r w:rsidR="00D1672E">
        <w:rPr>
          <w:bCs/>
        </w:rPr>
        <w:t xml:space="preserve"> §</w:t>
      </w:r>
      <w:r w:rsidR="00BC0F44">
        <w:rPr>
          <w:bCs/>
        </w:rPr>
        <w:t> </w:t>
      </w:r>
      <w:r w:rsidR="00530C5B">
        <w:rPr>
          <w:bCs/>
        </w:rPr>
        <w:t xml:space="preserve">22.181(d)(11). </w:t>
      </w:r>
    </w:p>
    <w:p w14:paraId="5705D9C5" w14:textId="0CD5E1B4" w:rsidR="00651CA2" w:rsidRPr="00EC55F4" w:rsidRDefault="00651CA2" w:rsidP="00651CA2">
      <w:pPr>
        <w:pStyle w:val="ListParagraph"/>
        <w:numPr>
          <w:ilvl w:val="0"/>
          <w:numId w:val="1"/>
        </w:numPr>
        <w:overflowPunct/>
        <w:autoSpaceDE/>
        <w:autoSpaceDN/>
        <w:adjustRightInd/>
        <w:spacing w:before="120" w:line="360" w:lineRule="auto"/>
        <w:ind w:left="0" w:firstLine="0"/>
        <w:jc w:val="center"/>
        <w:textAlignment w:val="auto"/>
        <w:rPr>
          <w:b/>
          <w:sz w:val="24"/>
          <w:szCs w:val="24"/>
        </w:rPr>
      </w:pPr>
      <w:r>
        <w:rPr>
          <w:b/>
          <w:sz w:val="24"/>
          <w:szCs w:val="24"/>
        </w:rPr>
        <w:t>CONCLUSION</w:t>
      </w:r>
    </w:p>
    <w:p w14:paraId="1E8B09DB" w14:textId="291C94BF" w:rsidR="00651CA2" w:rsidRDefault="00651CA2" w:rsidP="00651CA2">
      <w:pPr>
        <w:spacing w:before="120"/>
        <w:rPr>
          <w:bCs/>
        </w:rPr>
      </w:pPr>
      <w:r w:rsidRPr="00651CA2">
        <w:rPr>
          <w:bCs/>
        </w:rPr>
        <w:t xml:space="preserve">For the reasons discussed above, Staff respectfully requests the entry of an order </w:t>
      </w:r>
      <w:r w:rsidR="00C845A4">
        <w:rPr>
          <w:bCs/>
        </w:rPr>
        <w:t xml:space="preserve">denying the transaction from </w:t>
      </w:r>
      <w:r w:rsidR="00962F68">
        <w:rPr>
          <w:bCs/>
        </w:rPr>
        <w:t>proceeding and</w:t>
      </w:r>
      <w:r w:rsidR="00853CDC">
        <w:rPr>
          <w:bCs/>
        </w:rPr>
        <w:t xml:space="preserve"> granting Staff’s motion to dismiss</w:t>
      </w:r>
      <w:r w:rsidR="00C845A4">
        <w:rPr>
          <w:bCs/>
        </w:rPr>
        <w:t>.</w:t>
      </w:r>
      <w:r w:rsidR="009F67A6">
        <w:rPr>
          <w:bCs/>
        </w:rPr>
        <w:t xml:space="preserve"> In the alternative, Staff respectfully requests an order finding that New Water Systems’ notice is deficient.</w:t>
      </w:r>
    </w:p>
    <w:p w14:paraId="40BDE864" w14:textId="77777777" w:rsidR="009F67A6" w:rsidRDefault="009F67A6" w:rsidP="00651CA2">
      <w:pPr>
        <w:keepNext/>
        <w:keepLines/>
        <w:spacing w:after="0" w:line="240" w:lineRule="auto"/>
        <w:ind w:firstLine="0"/>
        <w:jc w:val="left"/>
        <w:rPr>
          <w:szCs w:val="20"/>
        </w:rPr>
      </w:pPr>
    </w:p>
    <w:p w14:paraId="3A0EEBFA" w14:textId="65BA674A" w:rsidR="00651CA2" w:rsidRPr="00EC55F4" w:rsidRDefault="00651CA2" w:rsidP="00651CA2">
      <w:pPr>
        <w:keepNext/>
        <w:keepLines/>
        <w:spacing w:after="0" w:line="240" w:lineRule="auto"/>
        <w:ind w:firstLine="0"/>
        <w:jc w:val="left"/>
      </w:pPr>
      <w:r w:rsidRPr="00EC55F4">
        <w:rPr>
          <w:szCs w:val="20"/>
        </w:rPr>
        <w:t xml:space="preserve">Date: </w:t>
      </w:r>
      <w:r w:rsidRPr="00EC55F4">
        <w:fldChar w:fldCharType="begin"/>
      </w:r>
      <w:r w:rsidRPr="00EC55F4">
        <w:instrText xml:space="preserve"> DATE \@ "MMMM d, yyyy" </w:instrText>
      </w:r>
      <w:r w:rsidRPr="00EC55F4">
        <w:fldChar w:fldCharType="separate"/>
      </w:r>
      <w:r w:rsidR="00F82DAD">
        <w:rPr>
          <w:noProof/>
        </w:rPr>
        <w:t>June 13, 2024</w:t>
      </w:r>
      <w:r w:rsidRPr="00EC55F4">
        <w:fldChar w:fldCharType="end"/>
      </w:r>
    </w:p>
    <w:p w14:paraId="697FB760" w14:textId="77777777" w:rsidR="00651CA2" w:rsidRPr="00EC55F4" w:rsidRDefault="00651CA2" w:rsidP="00651CA2">
      <w:pPr>
        <w:keepNext/>
        <w:keepLines/>
        <w:spacing w:after="0" w:line="480" w:lineRule="auto"/>
        <w:ind w:left="3600"/>
        <w:rPr>
          <w:szCs w:val="20"/>
        </w:rPr>
      </w:pPr>
      <w:r w:rsidRPr="00EC55F4">
        <w:rPr>
          <w:szCs w:val="20"/>
        </w:rPr>
        <w:t>Respectfully submitted,</w:t>
      </w:r>
    </w:p>
    <w:p w14:paraId="63AACABE" w14:textId="77777777" w:rsidR="00651CA2" w:rsidRPr="00EC55F4" w:rsidRDefault="00651CA2" w:rsidP="00651CA2">
      <w:pPr>
        <w:keepNext/>
        <w:keepLines/>
        <w:spacing w:after="0" w:line="240" w:lineRule="auto"/>
        <w:ind w:left="4320" w:firstLine="0"/>
        <w:contextualSpacing/>
        <w:rPr>
          <w:b/>
        </w:rPr>
      </w:pPr>
      <w:r w:rsidRPr="00EC55F4">
        <w:rPr>
          <w:b/>
        </w:rPr>
        <w:t xml:space="preserve">PUBLIC UTILITY COMMISSION OF TEXAS </w:t>
      </w:r>
    </w:p>
    <w:p w14:paraId="2A30D84E" w14:textId="77777777" w:rsidR="00651CA2" w:rsidRPr="00EC55F4" w:rsidRDefault="00651CA2" w:rsidP="00651CA2">
      <w:pPr>
        <w:keepNext/>
        <w:keepLines/>
        <w:spacing w:after="0" w:line="240" w:lineRule="auto"/>
        <w:ind w:left="4320" w:firstLine="0"/>
        <w:contextualSpacing/>
        <w:rPr>
          <w:b/>
        </w:rPr>
      </w:pPr>
      <w:r w:rsidRPr="00EC55F4">
        <w:rPr>
          <w:b/>
        </w:rPr>
        <w:t>LEGAL DIVISION</w:t>
      </w:r>
    </w:p>
    <w:p w14:paraId="2EE6F6CA" w14:textId="77777777" w:rsidR="00651CA2" w:rsidRPr="00EC55F4" w:rsidRDefault="00651CA2" w:rsidP="00651CA2">
      <w:pPr>
        <w:keepNext/>
        <w:keepLines/>
        <w:spacing w:after="0" w:line="240" w:lineRule="auto"/>
        <w:ind w:firstLine="0"/>
        <w:rPr>
          <w:szCs w:val="20"/>
        </w:rPr>
      </w:pPr>
    </w:p>
    <w:p w14:paraId="6D965DAD" w14:textId="77777777" w:rsidR="00651CA2" w:rsidRPr="00EC55F4" w:rsidRDefault="00651CA2" w:rsidP="00651CA2">
      <w:pPr>
        <w:keepNext/>
        <w:keepLines/>
        <w:spacing w:after="0" w:line="240" w:lineRule="auto"/>
        <w:ind w:left="4320" w:firstLine="0"/>
        <w:rPr>
          <w:szCs w:val="20"/>
        </w:rPr>
      </w:pPr>
      <w:r w:rsidRPr="00EC55F4">
        <w:rPr>
          <w:szCs w:val="20"/>
        </w:rPr>
        <w:t>Marisa Lopez Wagley</w:t>
      </w:r>
    </w:p>
    <w:p w14:paraId="3C949BD3" w14:textId="77777777" w:rsidR="00651CA2" w:rsidRPr="00EC55F4" w:rsidRDefault="00651CA2" w:rsidP="00651CA2">
      <w:pPr>
        <w:keepNext/>
        <w:keepLines/>
        <w:spacing w:after="0" w:line="240" w:lineRule="auto"/>
        <w:ind w:left="4320" w:firstLine="0"/>
        <w:rPr>
          <w:szCs w:val="20"/>
        </w:rPr>
      </w:pPr>
      <w:r w:rsidRPr="00EC55F4">
        <w:rPr>
          <w:szCs w:val="20"/>
        </w:rPr>
        <w:t>Division Director</w:t>
      </w:r>
    </w:p>
    <w:p w14:paraId="2C2ACFBC" w14:textId="77777777" w:rsidR="00651CA2" w:rsidRPr="00EC55F4" w:rsidRDefault="00651CA2" w:rsidP="00651CA2">
      <w:pPr>
        <w:keepNext/>
        <w:keepLines/>
        <w:spacing w:after="0" w:line="240" w:lineRule="auto"/>
        <w:ind w:left="4320" w:firstLine="0"/>
        <w:rPr>
          <w:szCs w:val="20"/>
        </w:rPr>
      </w:pPr>
    </w:p>
    <w:p w14:paraId="01703039" w14:textId="77777777" w:rsidR="00651CA2" w:rsidRPr="00EC55F4" w:rsidRDefault="00651CA2" w:rsidP="00651CA2">
      <w:pPr>
        <w:keepNext/>
        <w:keepLines/>
        <w:spacing w:after="0" w:line="240" w:lineRule="auto"/>
        <w:ind w:left="4320" w:firstLine="0"/>
        <w:rPr>
          <w:szCs w:val="20"/>
        </w:rPr>
      </w:pPr>
      <w:r w:rsidRPr="00EC55F4">
        <w:rPr>
          <w:szCs w:val="20"/>
        </w:rPr>
        <w:t>Ian Groetsch</w:t>
      </w:r>
    </w:p>
    <w:p w14:paraId="47F6B4C7" w14:textId="77777777" w:rsidR="00651CA2" w:rsidRPr="00EC55F4" w:rsidRDefault="00651CA2" w:rsidP="00651CA2">
      <w:pPr>
        <w:keepNext/>
        <w:keepLines/>
        <w:spacing w:after="0" w:line="240" w:lineRule="auto"/>
        <w:ind w:left="4320" w:firstLine="0"/>
        <w:rPr>
          <w:szCs w:val="20"/>
        </w:rPr>
      </w:pPr>
      <w:r w:rsidRPr="00EC55F4">
        <w:rPr>
          <w:szCs w:val="20"/>
        </w:rPr>
        <w:t>Managing Attorney</w:t>
      </w:r>
    </w:p>
    <w:p w14:paraId="5E82075D" w14:textId="77777777" w:rsidR="00651CA2" w:rsidRPr="00EC55F4" w:rsidRDefault="00651CA2" w:rsidP="00651CA2">
      <w:pPr>
        <w:keepNext/>
        <w:keepLines/>
        <w:overflowPunct w:val="0"/>
        <w:autoSpaceDE w:val="0"/>
        <w:autoSpaceDN w:val="0"/>
        <w:adjustRightInd w:val="0"/>
        <w:spacing w:after="0" w:line="240" w:lineRule="auto"/>
        <w:ind w:left="4320" w:firstLine="0"/>
        <w:jc w:val="left"/>
        <w:textAlignment w:val="baseline"/>
      </w:pPr>
    </w:p>
    <w:p w14:paraId="3D61749E" w14:textId="77777777" w:rsidR="00651CA2" w:rsidRPr="00EC55F4" w:rsidRDefault="00651CA2" w:rsidP="00651CA2">
      <w:pPr>
        <w:pStyle w:val="NormalWeb"/>
        <w:keepNext/>
        <w:keepLines/>
        <w:spacing w:before="0" w:beforeAutospacing="0" w:after="0" w:afterAutospacing="0"/>
        <w:ind w:left="4320"/>
      </w:pPr>
      <w:r w:rsidRPr="00EC55F4">
        <w:rPr>
          <w:i/>
          <w:iCs/>
          <w:u w:val="single"/>
        </w:rPr>
        <w:t xml:space="preserve">  /s/ Rowan Pruitt__________</w:t>
      </w:r>
    </w:p>
    <w:p w14:paraId="5EC3B893" w14:textId="77777777" w:rsidR="00651CA2" w:rsidRPr="00EC55F4" w:rsidRDefault="00651CA2" w:rsidP="00651CA2">
      <w:pPr>
        <w:pStyle w:val="NormalWeb"/>
        <w:keepNext/>
        <w:keepLines/>
        <w:spacing w:before="0" w:beforeAutospacing="0" w:after="0" w:afterAutospacing="0"/>
        <w:ind w:left="4320"/>
      </w:pPr>
      <w:r w:rsidRPr="00EC55F4">
        <w:t>Rowan Pruitt</w:t>
      </w:r>
    </w:p>
    <w:p w14:paraId="158CBDD1" w14:textId="77777777" w:rsidR="00651CA2" w:rsidRPr="00EC55F4" w:rsidRDefault="00651CA2" w:rsidP="00651CA2">
      <w:pPr>
        <w:pStyle w:val="NormalWeb"/>
        <w:keepNext/>
        <w:keepLines/>
        <w:spacing w:before="0" w:beforeAutospacing="0" w:after="0" w:afterAutospacing="0"/>
        <w:ind w:left="4320"/>
      </w:pPr>
      <w:r w:rsidRPr="00EC55F4">
        <w:t>State Bar No. 24137425</w:t>
      </w:r>
    </w:p>
    <w:p w14:paraId="535AA94E" w14:textId="77777777" w:rsidR="00651CA2" w:rsidRPr="00EC55F4" w:rsidRDefault="00651CA2" w:rsidP="00651CA2">
      <w:pPr>
        <w:pStyle w:val="NormalWeb"/>
        <w:keepNext/>
        <w:keepLines/>
        <w:spacing w:before="0" w:beforeAutospacing="0" w:after="0" w:afterAutospacing="0"/>
        <w:ind w:left="4320"/>
      </w:pPr>
      <w:r w:rsidRPr="00EC55F4">
        <w:t>1701 N. Congress Avenue</w:t>
      </w:r>
    </w:p>
    <w:p w14:paraId="581DFFE2" w14:textId="77777777" w:rsidR="00651CA2" w:rsidRPr="00EC55F4" w:rsidRDefault="00651CA2" w:rsidP="00651CA2">
      <w:pPr>
        <w:pStyle w:val="NormalWeb"/>
        <w:keepNext/>
        <w:keepLines/>
        <w:spacing w:before="0" w:beforeAutospacing="0" w:after="0" w:afterAutospacing="0"/>
        <w:ind w:left="4320"/>
      </w:pPr>
      <w:r w:rsidRPr="00EC55F4">
        <w:t>P.O Box 13326</w:t>
      </w:r>
    </w:p>
    <w:p w14:paraId="11EE662F" w14:textId="77777777" w:rsidR="00651CA2" w:rsidRPr="00EC55F4" w:rsidRDefault="00651CA2" w:rsidP="00651CA2">
      <w:pPr>
        <w:pStyle w:val="NormalWeb"/>
        <w:keepNext/>
        <w:keepLines/>
        <w:spacing w:before="0" w:beforeAutospacing="0" w:after="0" w:afterAutospacing="0"/>
        <w:ind w:left="4320"/>
      </w:pPr>
      <w:r w:rsidRPr="00EC55F4">
        <w:t>Austin, Texas 78711-3326</w:t>
      </w:r>
    </w:p>
    <w:p w14:paraId="01D2CDD4" w14:textId="77777777" w:rsidR="00651CA2" w:rsidRPr="00EC55F4" w:rsidRDefault="00651CA2" w:rsidP="00651CA2">
      <w:pPr>
        <w:pStyle w:val="NormalWeb"/>
        <w:keepNext/>
        <w:keepLines/>
        <w:spacing w:before="0" w:beforeAutospacing="0" w:after="0" w:afterAutospacing="0"/>
        <w:ind w:left="4320"/>
      </w:pPr>
      <w:r w:rsidRPr="00EC55F4">
        <w:t>(512) 936-7308</w:t>
      </w:r>
    </w:p>
    <w:p w14:paraId="0F2EECB3" w14:textId="77777777" w:rsidR="00651CA2" w:rsidRPr="00EC55F4" w:rsidRDefault="00651CA2" w:rsidP="00651CA2">
      <w:pPr>
        <w:pStyle w:val="NormalWeb"/>
        <w:spacing w:before="0" w:beforeAutospacing="0" w:after="0" w:afterAutospacing="0"/>
        <w:ind w:left="4320"/>
      </w:pPr>
      <w:r w:rsidRPr="00EC55F4">
        <w:t xml:space="preserve">(512) 936-7268 (facsimile) </w:t>
      </w:r>
    </w:p>
    <w:p w14:paraId="163B48BA" w14:textId="77777777" w:rsidR="00651CA2" w:rsidRPr="00EC55F4" w:rsidRDefault="00651CA2" w:rsidP="00651CA2">
      <w:pPr>
        <w:pStyle w:val="NormalWeb"/>
        <w:spacing w:before="0" w:beforeAutospacing="0" w:after="0" w:afterAutospacing="0"/>
        <w:ind w:left="4320"/>
      </w:pPr>
      <w:r w:rsidRPr="00EC55F4">
        <w:t>Rowan.Pruitt@puc.texas.gov</w:t>
      </w:r>
    </w:p>
    <w:p w14:paraId="7B61CCCD" w14:textId="77777777" w:rsidR="00651CA2" w:rsidRDefault="00651CA2" w:rsidP="00651CA2">
      <w:pPr>
        <w:pStyle w:val="Paragraph"/>
      </w:pPr>
    </w:p>
    <w:p w14:paraId="71FACE61" w14:textId="77777777" w:rsidR="00651CA2" w:rsidRPr="00EC55F4" w:rsidRDefault="00651CA2" w:rsidP="00651CA2">
      <w:pPr>
        <w:pStyle w:val="CaseCaption"/>
        <w:rPr>
          <w:bCs/>
          <w:color w:val="000000" w:themeColor="text1"/>
        </w:rPr>
      </w:pPr>
      <w:r w:rsidRPr="00EC55F4">
        <w:t>Docket No. 5</w:t>
      </w:r>
      <w:r>
        <w:t>6385</w:t>
      </w:r>
      <w:r w:rsidRPr="00EC55F4">
        <w:t xml:space="preserve"> </w:t>
      </w:r>
    </w:p>
    <w:p w14:paraId="3DCC4D75" w14:textId="77777777" w:rsidR="00651CA2" w:rsidRPr="00EC55F4" w:rsidRDefault="00651CA2" w:rsidP="00651CA2">
      <w:pPr>
        <w:pStyle w:val="CaseCaption"/>
      </w:pPr>
    </w:p>
    <w:p w14:paraId="61C462D6" w14:textId="77777777" w:rsidR="00651CA2" w:rsidRPr="00EC55F4" w:rsidRDefault="00651CA2" w:rsidP="00651CA2">
      <w:pPr>
        <w:pStyle w:val="CaseCaption"/>
      </w:pPr>
      <w:r w:rsidRPr="00EC55F4">
        <w:t>CERTIFICATE OF SERVICE</w:t>
      </w:r>
    </w:p>
    <w:p w14:paraId="461083B5" w14:textId="6F1F0CBA" w:rsidR="00651CA2" w:rsidRPr="00EC55F4" w:rsidRDefault="00651CA2" w:rsidP="00651CA2">
      <w:pPr>
        <w:pStyle w:val="Paragraph"/>
        <w:keepNext/>
        <w:keepLines/>
      </w:pPr>
      <w:r w:rsidRPr="00EC55F4">
        <w:t>I certify that unless otherwise ordered by the presiding officer, notice of the filing of this document w</w:t>
      </w:r>
      <w:r>
        <w:t>ill be</w:t>
      </w:r>
      <w:r w:rsidRPr="00EC55F4">
        <w:t xml:space="preserve"> provided to all parties of record via electronic mail on </w:t>
      </w:r>
      <w:r w:rsidRPr="00EC55F4">
        <w:fldChar w:fldCharType="begin"/>
      </w:r>
      <w:r w:rsidRPr="00EC55F4">
        <w:instrText xml:space="preserve"> DATE \@ "MMMM d, yyyy" </w:instrText>
      </w:r>
      <w:r w:rsidRPr="00EC55F4">
        <w:fldChar w:fldCharType="separate"/>
      </w:r>
      <w:r w:rsidR="00F82DAD">
        <w:rPr>
          <w:noProof/>
        </w:rPr>
        <w:t>June 13, 2024</w:t>
      </w:r>
      <w:r w:rsidRPr="00EC55F4">
        <w:fldChar w:fldCharType="end"/>
      </w:r>
      <w:r>
        <w:t>,</w:t>
      </w:r>
      <w:r w:rsidRPr="00EC55F4">
        <w:t xml:space="preserve"> in accordance with the Second Order Suspending Rules, filed in Project No. 50664. </w:t>
      </w:r>
    </w:p>
    <w:p w14:paraId="02999A0A" w14:textId="77777777" w:rsidR="00651CA2" w:rsidRPr="00EC55F4" w:rsidRDefault="00651CA2" w:rsidP="00651CA2">
      <w:pPr>
        <w:pStyle w:val="Paragraph"/>
        <w:keepNext/>
        <w:keepLines/>
      </w:pPr>
    </w:p>
    <w:p w14:paraId="59B71898" w14:textId="77777777" w:rsidR="00651CA2" w:rsidRPr="00EC55F4" w:rsidRDefault="00651CA2" w:rsidP="00651CA2">
      <w:pPr>
        <w:pStyle w:val="NormalWeb"/>
        <w:spacing w:before="0" w:beforeAutospacing="0" w:after="0" w:afterAutospacing="0"/>
        <w:ind w:left="4320"/>
      </w:pPr>
      <w:r w:rsidRPr="00EC55F4">
        <w:rPr>
          <w:i/>
          <w:iCs/>
          <w:u w:val="single"/>
        </w:rPr>
        <w:t xml:space="preserve">  /s/ Rowan Pruitt__________</w:t>
      </w:r>
    </w:p>
    <w:p w14:paraId="132A3FB8" w14:textId="7EB6D562" w:rsidR="00FE2771" w:rsidRDefault="00651CA2" w:rsidP="00263B5A">
      <w:pPr>
        <w:pStyle w:val="Paragraph"/>
        <w:ind w:left="4320" w:firstLine="0"/>
      </w:pPr>
      <w:r w:rsidRPr="00EC55F4">
        <w:t>Rowan Pruitt</w:t>
      </w:r>
    </w:p>
    <w:sectPr w:rsidR="00FE2771" w:rsidSect="000B62E6">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CEFD" w14:textId="77777777" w:rsidR="007A4743" w:rsidRDefault="007A4743" w:rsidP="007A4743">
      <w:pPr>
        <w:spacing w:after="0" w:line="240" w:lineRule="auto"/>
      </w:pPr>
      <w:r>
        <w:separator/>
      </w:r>
    </w:p>
  </w:endnote>
  <w:endnote w:type="continuationSeparator" w:id="0">
    <w:p w14:paraId="07AD02DC" w14:textId="77777777" w:rsidR="007A4743" w:rsidRDefault="007A4743" w:rsidP="007A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5F224" w14:textId="77777777" w:rsidR="007A4743" w:rsidRDefault="007A4743" w:rsidP="007A4743">
      <w:pPr>
        <w:spacing w:after="0" w:line="240" w:lineRule="auto"/>
      </w:pPr>
      <w:r>
        <w:separator/>
      </w:r>
    </w:p>
  </w:footnote>
  <w:footnote w:type="continuationSeparator" w:id="0">
    <w:p w14:paraId="61F4C237" w14:textId="77777777" w:rsidR="007A4743" w:rsidRDefault="007A4743" w:rsidP="007A4743">
      <w:pPr>
        <w:spacing w:after="0" w:line="240" w:lineRule="auto"/>
      </w:pPr>
      <w:r>
        <w:continuationSeparator/>
      </w:r>
    </w:p>
  </w:footnote>
  <w:footnote w:id="1">
    <w:p w14:paraId="3055E9A9" w14:textId="61851C86" w:rsidR="000B62E6" w:rsidRDefault="000B62E6" w:rsidP="00263B5A">
      <w:pPr>
        <w:pStyle w:val="FootnoteText"/>
        <w:jc w:val="left"/>
      </w:pPr>
      <w:r>
        <w:rPr>
          <w:rStyle w:val="FootnoteReference"/>
        </w:rPr>
        <w:footnoteRef/>
      </w:r>
      <w:r>
        <w:t xml:space="preserve">  Public Water Utility Information</w:t>
      </w:r>
      <w:r w:rsidR="00DD0FAC">
        <w:t xml:space="preserve"> Data Base</w:t>
      </w:r>
      <w:r>
        <w:t>,</w:t>
      </w:r>
      <w:r w:rsidR="00DD0FAC">
        <w:t xml:space="preserve"> Search: "New Water Systems,” (Public Utility Commission of Texas, 2024) </w:t>
      </w:r>
      <w:hyperlink r:id="rId1" w:history="1">
        <w:r w:rsidR="0093270A" w:rsidRPr="00ED5266">
          <w:rPr>
            <w:rStyle w:val="Hyperlink"/>
          </w:rPr>
          <w:t>https://www.puc.texas.gov/WaterSearch/Search/Find?UtilityName=new+water+systems&amp;RepPartyName=&amp;CCNRegnum=&amp;UtilityTypeId=&amp;OwnershipTypeId=&amp;CountyId=&amp;ActivityStatusId=</w:t>
        </w:r>
      </w:hyperlink>
      <w:r>
        <w:t>.</w:t>
      </w:r>
    </w:p>
  </w:footnote>
  <w:footnote w:id="2">
    <w:p w14:paraId="01409A06" w14:textId="07891385" w:rsidR="000B62E6" w:rsidRDefault="000B62E6" w:rsidP="00263B5A">
      <w:pPr>
        <w:pStyle w:val="FootnoteText"/>
        <w:spacing w:after="120"/>
        <w:jc w:val="left"/>
      </w:pPr>
      <w:r>
        <w:rPr>
          <w:rStyle w:val="FootnoteReference"/>
        </w:rPr>
        <w:footnoteRef/>
      </w:r>
      <w:r>
        <w:t xml:space="preserve">  </w:t>
      </w:r>
      <w:r w:rsidR="00DD0FAC">
        <w:t xml:space="preserve">New Water Systems, (New Water Systems, 2024) </w:t>
      </w:r>
      <w:hyperlink r:id="rId2" w:history="1">
        <w:r w:rsidR="00DD0FAC" w:rsidRPr="00ED5266">
          <w:rPr>
            <w:rStyle w:val="Hyperlink"/>
          </w:rPr>
          <w:t>https://newwatersystem.com/</w:t>
        </w:r>
      </w:hyperlink>
      <w:r w:rsidR="00DD0FAC">
        <w:t xml:space="preserve">. </w:t>
      </w:r>
    </w:p>
  </w:footnote>
  <w:footnote w:id="3">
    <w:p w14:paraId="51397BA4" w14:textId="3F6E0320" w:rsidR="009F67A6" w:rsidRPr="00263B5A" w:rsidRDefault="009F67A6" w:rsidP="00263B5A">
      <w:pPr>
        <w:pStyle w:val="FootnoteText"/>
        <w:spacing w:after="120"/>
        <w:rPr>
          <w:i/>
          <w:iCs/>
        </w:rPr>
      </w:pPr>
      <w:r>
        <w:rPr>
          <w:rStyle w:val="FootnoteReference"/>
        </w:rPr>
        <w:footnoteRef/>
      </w:r>
      <w:r>
        <w:t xml:space="preserve">  </w:t>
      </w:r>
      <w:r>
        <w:rPr>
          <w:i/>
          <w:iCs/>
        </w:rPr>
        <w:t>Id.</w:t>
      </w:r>
    </w:p>
  </w:footnote>
  <w:footnote w:id="4">
    <w:p w14:paraId="4D06A16D" w14:textId="09E8F751" w:rsidR="009F67A6" w:rsidRPr="00263B5A" w:rsidRDefault="009F67A6">
      <w:pPr>
        <w:pStyle w:val="FootnoteText"/>
        <w:rPr>
          <w:i/>
          <w:iCs/>
        </w:rPr>
      </w:pPr>
      <w:r>
        <w:rPr>
          <w:rStyle w:val="FootnoteReference"/>
        </w:rPr>
        <w:footnoteRef/>
      </w:r>
      <w:r>
        <w:t xml:space="preserve">  </w:t>
      </w:r>
      <w:r>
        <w:rPr>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40D810C9" w14:textId="77777777" w:rsidR="00B63B6A" w:rsidRPr="00263B5A" w:rsidRDefault="00B63B6A">
        <w:pPr>
          <w:pStyle w:val="Header"/>
          <w:jc w:val="right"/>
          <w:rPr>
            <w:b/>
            <w:bCs/>
            <w:sz w:val="20"/>
            <w:szCs w:val="20"/>
          </w:rPr>
        </w:pPr>
        <w:r w:rsidRPr="00263B5A">
          <w:rPr>
            <w:b/>
            <w:bCs/>
            <w:sz w:val="20"/>
            <w:szCs w:val="20"/>
          </w:rPr>
          <w:t xml:space="preserve">Page </w:t>
        </w:r>
        <w:r w:rsidRPr="00263B5A">
          <w:rPr>
            <w:b/>
            <w:bCs/>
            <w:sz w:val="20"/>
            <w:szCs w:val="20"/>
          </w:rPr>
          <w:fldChar w:fldCharType="begin"/>
        </w:r>
        <w:r w:rsidRPr="00263B5A">
          <w:rPr>
            <w:b/>
            <w:bCs/>
            <w:sz w:val="20"/>
            <w:szCs w:val="20"/>
          </w:rPr>
          <w:instrText xml:space="preserve"> PAGE </w:instrText>
        </w:r>
        <w:r w:rsidRPr="00263B5A">
          <w:rPr>
            <w:b/>
            <w:bCs/>
            <w:sz w:val="20"/>
            <w:szCs w:val="20"/>
          </w:rPr>
          <w:fldChar w:fldCharType="separate"/>
        </w:r>
        <w:r w:rsidRPr="00263B5A">
          <w:rPr>
            <w:b/>
            <w:bCs/>
            <w:noProof/>
            <w:sz w:val="20"/>
            <w:szCs w:val="20"/>
          </w:rPr>
          <w:t>2</w:t>
        </w:r>
        <w:r w:rsidRPr="00263B5A">
          <w:rPr>
            <w:b/>
            <w:bCs/>
            <w:sz w:val="20"/>
            <w:szCs w:val="20"/>
          </w:rPr>
          <w:fldChar w:fldCharType="end"/>
        </w:r>
        <w:r w:rsidRPr="00263B5A">
          <w:rPr>
            <w:b/>
            <w:bCs/>
            <w:sz w:val="20"/>
            <w:szCs w:val="20"/>
          </w:rPr>
          <w:t xml:space="preserve"> of </w:t>
        </w:r>
        <w:r w:rsidRPr="00263B5A">
          <w:rPr>
            <w:b/>
            <w:bCs/>
            <w:sz w:val="20"/>
            <w:szCs w:val="20"/>
          </w:rPr>
          <w:fldChar w:fldCharType="begin"/>
        </w:r>
        <w:r w:rsidRPr="00263B5A">
          <w:rPr>
            <w:b/>
            <w:bCs/>
            <w:sz w:val="20"/>
            <w:szCs w:val="20"/>
          </w:rPr>
          <w:instrText xml:space="preserve"> NUMPAGES  </w:instrText>
        </w:r>
        <w:r w:rsidRPr="00263B5A">
          <w:rPr>
            <w:b/>
            <w:bCs/>
            <w:sz w:val="20"/>
            <w:szCs w:val="20"/>
          </w:rPr>
          <w:fldChar w:fldCharType="separate"/>
        </w:r>
        <w:r w:rsidRPr="00263B5A">
          <w:rPr>
            <w:b/>
            <w:bCs/>
            <w:noProof/>
            <w:sz w:val="20"/>
            <w:szCs w:val="20"/>
          </w:rPr>
          <w:t>2</w:t>
        </w:r>
        <w:r w:rsidRPr="00263B5A">
          <w:rPr>
            <w:b/>
            <w:bCs/>
            <w:sz w:val="20"/>
            <w:szCs w:val="20"/>
          </w:rPr>
          <w:fldChar w:fldCharType="end"/>
        </w:r>
      </w:p>
    </w:sdtContent>
  </w:sdt>
  <w:p w14:paraId="429F4A7A" w14:textId="77777777" w:rsidR="00B63B6A" w:rsidRDefault="00B63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643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281"/>
    <w:rsid w:val="0004381F"/>
    <w:rsid w:val="000B62E6"/>
    <w:rsid w:val="0018739D"/>
    <w:rsid w:val="001E1988"/>
    <w:rsid w:val="002213DF"/>
    <w:rsid w:val="00263B5A"/>
    <w:rsid w:val="00394A5D"/>
    <w:rsid w:val="00404606"/>
    <w:rsid w:val="004237DC"/>
    <w:rsid w:val="004871C0"/>
    <w:rsid w:val="004F7A29"/>
    <w:rsid w:val="00530C5B"/>
    <w:rsid w:val="0060544B"/>
    <w:rsid w:val="00615AAC"/>
    <w:rsid w:val="0064081F"/>
    <w:rsid w:val="00651CA2"/>
    <w:rsid w:val="006C5457"/>
    <w:rsid w:val="007A4743"/>
    <w:rsid w:val="007F2401"/>
    <w:rsid w:val="00853CDC"/>
    <w:rsid w:val="00871364"/>
    <w:rsid w:val="0093270A"/>
    <w:rsid w:val="00962F68"/>
    <w:rsid w:val="009F67A6"/>
    <w:rsid w:val="00AF2D9B"/>
    <w:rsid w:val="00AF3C36"/>
    <w:rsid w:val="00B63B6A"/>
    <w:rsid w:val="00BC0F44"/>
    <w:rsid w:val="00C845A4"/>
    <w:rsid w:val="00CB2105"/>
    <w:rsid w:val="00D1672E"/>
    <w:rsid w:val="00D3431C"/>
    <w:rsid w:val="00DA3281"/>
    <w:rsid w:val="00DD0FAC"/>
    <w:rsid w:val="00E0253A"/>
    <w:rsid w:val="00F67880"/>
    <w:rsid w:val="00F77052"/>
    <w:rsid w:val="00F82DAD"/>
    <w:rsid w:val="00FE2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FBAE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51CA2"/>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651CA2"/>
    <w:pPr>
      <w:spacing w:after="0"/>
    </w:pPr>
  </w:style>
  <w:style w:type="paragraph" w:customStyle="1" w:styleId="CaseCaption">
    <w:name w:val="Case Caption"/>
    <w:basedOn w:val="Normal"/>
    <w:next w:val="Paragraph"/>
    <w:link w:val="CaseCaptionChar"/>
    <w:qFormat/>
    <w:rsid w:val="00651CA2"/>
    <w:pPr>
      <w:keepNext/>
      <w:spacing w:after="240" w:line="240" w:lineRule="auto"/>
      <w:ind w:firstLine="0"/>
      <w:contextualSpacing/>
      <w:jc w:val="center"/>
    </w:pPr>
    <w:rPr>
      <w:b/>
      <w:caps/>
    </w:rPr>
  </w:style>
  <w:style w:type="character" w:customStyle="1" w:styleId="CaseCaptionChar">
    <w:name w:val="Case Caption Char"/>
    <w:link w:val="CaseCaption"/>
    <w:rsid w:val="00651CA2"/>
    <w:rPr>
      <w:rFonts w:ascii="Times New Roman" w:eastAsia="Times New Roman" w:hAnsi="Times New Roman" w:cs="Times New Roman"/>
      <w:b/>
      <w:caps/>
      <w:kern w:val="0"/>
      <w:sz w:val="24"/>
      <w:szCs w:val="24"/>
      <w14:ligatures w14:val="none"/>
    </w:rPr>
  </w:style>
  <w:style w:type="character" w:customStyle="1" w:styleId="EquationCaption">
    <w:name w:val="_Equation Caption"/>
    <w:rsid w:val="00651CA2"/>
  </w:style>
  <w:style w:type="paragraph" w:styleId="ListParagraph">
    <w:name w:val="List Paragraph"/>
    <w:basedOn w:val="Normal"/>
    <w:uiPriority w:val="34"/>
    <w:qFormat/>
    <w:rsid w:val="00651CA2"/>
    <w:pPr>
      <w:overflowPunct w:val="0"/>
      <w:autoSpaceDE w:val="0"/>
      <w:autoSpaceDN w:val="0"/>
      <w:adjustRightInd w:val="0"/>
      <w:spacing w:after="0" w:line="240" w:lineRule="auto"/>
      <w:ind w:left="720" w:firstLine="0"/>
      <w:contextualSpacing/>
      <w:jc w:val="left"/>
      <w:textAlignment w:val="baseline"/>
    </w:pPr>
    <w:rPr>
      <w:sz w:val="20"/>
      <w:szCs w:val="20"/>
    </w:rPr>
  </w:style>
  <w:style w:type="paragraph" w:styleId="NormalWeb">
    <w:name w:val="Normal (Web)"/>
    <w:basedOn w:val="Normal"/>
    <w:uiPriority w:val="99"/>
    <w:unhideWhenUsed/>
    <w:rsid w:val="00651CA2"/>
    <w:pPr>
      <w:spacing w:before="100" w:beforeAutospacing="1" w:after="100" w:afterAutospacing="1" w:line="240" w:lineRule="auto"/>
      <w:ind w:firstLine="0"/>
      <w:jc w:val="left"/>
    </w:pPr>
  </w:style>
  <w:style w:type="paragraph" w:styleId="FootnoteText">
    <w:name w:val="footnote text"/>
    <w:basedOn w:val="Normal"/>
    <w:link w:val="FootnoteTextChar"/>
    <w:uiPriority w:val="99"/>
    <w:semiHidden/>
    <w:unhideWhenUsed/>
    <w:rsid w:val="007A47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474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7A4743"/>
    <w:rPr>
      <w:vertAlign w:val="superscript"/>
    </w:rPr>
  </w:style>
  <w:style w:type="paragraph" w:styleId="Revision">
    <w:name w:val="Revision"/>
    <w:hidden/>
    <w:uiPriority w:val="99"/>
    <w:semiHidden/>
    <w:rsid w:val="00D1672E"/>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1672E"/>
    <w:rPr>
      <w:sz w:val="16"/>
      <w:szCs w:val="16"/>
    </w:rPr>
  </w:style>
  <w:style w:type="paragraph" w:styleId="CommentText">
    <w:name w:val="annotation text"/>
    <w:basedOn w:val="Normal"/>
    <w:link w:val="CommentTextChar"/>
    <w:uiPriority w:val="99"/>
    <w:unhideWhenUsed/>
    <w:rsid w:val="00D1672E"/>
    <w:pPr>
      <w:spacing w:line="240" w:lineRule="auto"/>
    </w:pPr>
    <w:rPr>
      <w:sz w:val="20"/>
      <w:szCs w:val="20"/>
    </w:rPr>
  </w:style>
  <w:style w:type="character" w:customStyle="1" w:styleId="CommentTextChar">
    <w:name w:val="Comment Text Char"/>
    <w:basedOn w:val="DefaultParagraphFont"/>
    <w:link w:val="CommentText"/>
    <w:uiPriority w:val="99"/>
    <w:rsid w:val="00D1672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1672E"/>
    <w:rPr>
      <w:b/>
      <w:bCs/>
    </w:rPr>
  </w:style>
  <w:style w:type="character" w:customStyle="1" w:styleId="CommentSubjectChar">
    <w:name w:val="Comment Subject Char"/>
    <w:basedOn w:val="CommentTextChar"/>
    <w:link w:val="CommentSubject"/>
    <w:uiPriority w:val="99"/>
    <w:semiHidden/>
    <w:rsid w:val="00D1672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1672E"/>
    <w:rPr>
      <w:color w:val="0563C1" w:themeColor="hyperlink"/>
      <w:u w:val="single"/>
    </w:rPr>
  </w:style>
  <w:style w:type="character" w:styleId="UnresolvedMention">
    <w:name w:val="Unresolved Mention"/>
    <w:basedOn w:val="DefaultParagraphFont"/>
    <w:uiPriority w:val="99"/>
    <w:semiHidden/>
    <w:unhideWhenUsed/>
    <w:rsid w:val="00D1672E"/>
    <w:rPr>
      <w:color w:val="605E5C"/>
      <w:shd w:val="clear" w:color="auto" w:fill="E1DFDD"/>
    </w:rPr>
  </w:style>
  <w:style w:type="paragraph" w:styleId="Header">
    <w:name w:val="header"/>
    <w:basedOn w:val="Normal"/>
    <w:link w:val="HeaderChar"/>
    <w:uiPriority w:val="99"/>
    <w:unhideWhenUsed/>
    <w:rsid w:val="00B63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3B6A"/>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B63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3B6A"/>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E025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newwatersystem.com/" TargetMode="External"/><Relationship Id="rId1" Type="http://schemas.openxmlformats.org/officeDocument/2006/relationships/hyperlink" Target="https://www.puc.texas.gov/WaterSearch/Search/Find?UtilityName=new+water+systems&amp;RepPartyName=&amp;CCNRegnum=&amp;UtilityTypeId=&amp;OwnershipTypeId=&amp;CountyId=&amp;ActivityStatus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2024-06-13T19:49:00Z</dcterms:created>
  <dcterms:modified xsi:type="dcterms:W3CDTF">2024-06-13T19:49:00Z</dcterms:modified>
</cp:coreProperties>
</file>